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044F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</w:tr>
      <w:tr w:rsidR="00A044F8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A044F8" w:rsidRDefault="00A044F8">
            <w:pPr>
              <w:bidi/>
              <w:spacing w:line="240" w:lineRule="auto"/>
            </w:pPr>
          </w:p>
        </w:tc>
      </w:tr>
    </w:tbl>
    <w:p w:rsidR="00A044F8" w:rsidRDefault="00A044F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044F8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قبول نتائج مكعبات الخرسانة والقلب الخرساني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A044F8" w:rsidRDefault="00A044F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A044F8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044F8" w:rsidRDefault="00EF3B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A044F8" w:rsidRDefault="00EF3BA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A044F8" w:rsidRDefault="00EF3B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A044F8" w:rsidRDefault="00EF3B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044F8" w:rsidRDefault="00EF3BA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أخذ مجموعة مكعبات لكل حجم صب محدد (مثلا كل 50 م3) ولكل عنصر.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 set of cubes is taken per specified volume (e.g. every 50 m3) and per element.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المكعبات وتسجيلها مع العنصر وتاريخ الصب.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Cubes are numbered and recorded with element and pour date.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معالجة المكعبات في ماء بدرجة حرارة 20±2 مئوية حتى الاختبار.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Cubes are cured in water at 20±2 C until testing.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المكعبات عند 7 و28 يوما في معمل معتمد.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Cubes are tested at 7 and 28 days in an approved laboratory.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متوسط المجموعة وأقل نتيجة فردية يحققان شروط القبول.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average and lowest individual result meet the acceptance criteria.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عند عدم المطابقة: أخذ قلب خرساني بعدد ومواقع معتمدة.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If non-compliant, cores are taken in approved number and locations.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تقييم نتائج القلب حسب شروط القبول في الكود.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Core results are assessed per code acceptance criteria.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  <w:tr w:rsidR="00A044F8">
        <w:trPr>
          <w:cantSplit/>
          <w:jc w:val="center"/>
        </w:trPr>
        <w:tc>
          <w:tcPr>
            <w:tcW w:w="397" w:type="dxa"/>
            <w:vAlign w:val="center"/>
          </w:tcPr>
          <w:p w:rsidR="00A044F8" w:rsidRDefault="00EF3BA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ترميم أماكن القلب بمونة غير قابلة للانكماش.</w:t>
            </w:r>
          </w:p>
        </w:tc>
        <w:tc>
          <w:tcPr>
            <w:tcW w:w="3742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Core holes are repaired with non-shrink mortar.</w:t>
            </w: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A044F8" w:rsidRDefault="00A044F8">
            <w:pPr>
              <w:bidi/>
              <w:spacing w:line="240" w:lineRule="auto"/>
              <w:jc w:val="center"/>
            </w:pPr>
          </w:p>
        </w:tc>
      </w:tr>
    </w:tbl>
    <w:p w:rsidR="00A044F8" w:rsidRDefault="00A044F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044F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305، ASTM C143 / C31 / C39، كود البناء السعودي SBC 201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305, ASTM C143 / C31 / C39</w:t>
            </w:r>
            <w:r>
              <w:rPr>
                <w:color w:val="595959"/>
                <w:sz w:val="13"/>
                <w:szCs w:val="13"/>
              </w:rPr>
              <w:t>; Saudi Building Code SBC 201</w:t>
            </w:r>
          </w:p>
        </w:tc>
      </w:tr>
      <w:tr w:rsidR="00A044F8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الخلطة المعتمدة ☐ تذاكر التوريد ☐ نتائج الهبوط والمكعبات</w:t>
            </w:r>
          </w:p>
        </w:tc>
        <w:tc>
          <w:tcPr>
            <w:tcW w:w="4309" w:type="dxa"/>
            <w:vAlign w:val="center"/>
          </w:tcPr>
          <w:p w:rsidR="00A044F8" w:rsidRDefault="00EF3BA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mix design   ☐ Delivery tickets   ☐ Slump and cube results</w:t>
            </w:r>
          </w:p>
        </w:tc>
      </w:tr>
    </w:tbl>
    <w:p w:rsidR="00A044F8" w:rsidRDefault="00A044F8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044F8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044F8" w:rsidRDefault="00EF3BA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044F8" w:rsidRDefault="00EF3BA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044F8" w:rsidRDefault="00A044F8">
            <w:pPr>
              <w:keepNext/>
              <w:bidi/>
              <w:spacing w:line="240" w:lineRule="auto"/>
            </w:pPr>
          </w:p>
        </w:tc>
      </w:tr>
    </w:tbl>
    <w:p w:rsidR="00A044F8" w:rsidRDefault="00A044F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044F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044F8" w:rsidRDefault="00EF3BA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A044F8" w:rsidRDefault="00EF3BA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044F8" w:rsidRDefault="00A044F8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044F8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044F8" w:rsidRDefault="00EF3BA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044F8" w:rsidRDefault="00EF3BA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044F8" w:rsidRDefault="00EF3BA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044F8" w:rsidRDefault="00EF3BA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044F8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044F8" w:rsidRDefault="00EF3BA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044F8" w:rsidRDefault="00EF3BA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044F8" w:rsidRDefault="00EF3BA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044F8" w:rsidRDefault="00A044F8">
      <w:pPr>
        <w:spacing w:line="20" w:lineRule="exact"/>
      </w:pPr>
    </w:p>
    <w:sectPr w:rsidR="00A044F8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F3BAD" w:rsidRDefault="00EF3BAD">
      <w:pPr>
        <w:spacing w:line="240" w:lineRule="auto"/>
      </w:pPr>
      <w:r>
        <w:separator/>
      </w:r>
    </w:p>
  </w:endnote>
  <w:endnote w:type="continuationSeparator" w:id="0">
    <w:p w:rsidR="00EF3BAD" w:rsidRDefault="00EF3B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044F8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044F8" w:rsidRDefault="00EF3B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044F8" w:rsidRDefault="00EF3BA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F3BAD" w:rsidRDefault="00EF3BAD">
      <w:pPr>
        <w:spacing w:line="240" w:lineRule="auto"/>
      </w:pPr>
      <w:r>
        <w:separator/>
      </w:r>
    </w:p>
  </w:footnote>
  <w:footnote w:type="continuationSeparator" w:id="0">
    <w:p w:rsidR="00EF3BAD" w:rsidRDefault="00EF3B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044F8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044F8" w:rsidRDefault="00EF3BA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044F8" w:rsidRDefault="00EF3BA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044F8" w:rsidRDefault="00EF3BA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044F8" w:rsidRDefault="00EF3B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044F8" w:rsidRDefault="00EF3BA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ACE-QC-GEN-008</w:t>
          </w:r>
        </w:p>
      </w:tc>
    </w:tr>
    <w:tr w:rsidR="00A044F8">
      <w:trPr>
        <w:trHeight w:val="283"/>
        <w:jc w:val="center"/>
      </w:trPr>
      <w:tc>
        <w:tcPr>
          <w:tcW w:w="2041" w:type="dxa"/>
          <w:vMerge/>
          <w:vAlign w:val="center"/>
        </w:tcPr>
        <w:p w:rsidR="00A044F8" w:rsidRDefault="00A044F8"/>
      </w:tc>
      <w:tc>
        <w:tcPr>
          <w:tcW w:w="5669" w:type="dxa"/>
          <w:vMerge/>
          <w:vAlign w:val="center"/>
        </w:tcPr>
        <w:p w:rsidR="00A044F8" w:rsidRDefault="00A044F8"/>
      </w:tc>
      <w:tc>
        <w:tcPr>
          <w:tcW w:w="1361" w:type="dxa"/>
          <w:shd w:val="clear" w:color="auto" w:fill="F2F2F2"/>
          <w:vAlign w:val="center"/>
        </w:tcPr>
        <w:p w:rsidR="00A044F8" w:rsidRDefault="00EF3B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044F8" w:rsidRDefault="00EF3BA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044F8">
      <w:trPr>
        <w:trHeight w:val="283"/>
        <w:jc w:val="center"/>
      </w:trPr>
      <w:tc>
        <w:tcPr>
          <w:tcW w:w="2041" w:type="dxa"/>
          <w:vMerge/>
          <w:vAlign w:val="center"/>
        </w:tcPr>
        <w:p w:rsidR="00A044F8" w:rsidRDefault="00A044F8"/>
      </w:tc>
      <w:tc>
        <w:tcPr>
          <w:tcW w:w="5669" w:type="dxa"/>
          <w:vMerge w:val="restart"/>
          <w:shd w:val="clear" w:color="auto" w:fill="E7E6E6"/>
          <w:vAlign w:val="center"/>
        </w:tcPr>
        <w:p w:rsidR="00A044F8" w:rsidRDefault="00EF3BA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قبول نتائج مكعبات الخرسانة والقلب الخرساني</w:t>
          </w:r>
        </w:p>
        <w:p w:rsidR="00A044F8" w:rsidRDefault="00EF3BA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Concrete Cubes and Cores Acceptance</w:t>
          </w:r>
        </w:p>
      </w:tc>
      <w:tc>
        <w:tcPr>
          <w:tcW w:w="1361" w:type="dxa"/>
          <w:shd w:val="clear" w:color="auto" w:fill="F2F2F2"/>
          <w:vAlign w:val="center"/>
        </w:tcPr>
        <w:p w:rsidR="00A044F8" w:rsidRDefault="00EF3B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044F8" w:rsidRDefault="00EF3BA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044F8">
      <w:trPr>
        <w:trHeight w:val="283"/>
        <w:jc w:val="center"/>
      </w:trPr>
      <w:tc>
        <w:tcPr>
          <w:tcW w:w="2041" w:type="dxa"/>
          <w:vMerge/>
          <w:vAlign w:val="center"/>
        </w:tcPr>
        <w:p w:rsidR="00A044F8" w:rsidRDefault="00A044F8"/>
      </w:tc>
      <w:tc>
        <w:tcPr>
          <w:tcW w:w="5669" w:type="dxa"/>
          <w:vMerge/>
          <w:vAlign w:val="center"/>
        </w:tcPr>
        <w:p w:rsidR="00A044F8" w:rsidRDefault="00A044F8"/>
      </w:tc>
      <w:tc>
        <w:tcPr>
          <w:tcW w:w="1361" w:type="dxa"/>
          <w:shd w:val="clear" w:color="auto" w:fill="F2F2F2"/>
          <w:vAlign w:val="center"/>
        </w:tcPr>
        <w:p w:rsidR="00A044F8" w:rsidRDefault="00EF3BA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044F8" w:rsidRDefault="00EF3BA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044F8" w:rsidRDefault="00A044F8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037194">
    <w:abstractNumId w:val="8"/>
  </w:num>
  <w:num w:numId="2" w16cid:durableId="919411509">
    <w:abstractNumId w:val="6"/>
  </w:num>
  <w:num w:numId="3" w16cid:durableId="1449929352">
    <w:abstractNumId w:val="5"/>
  </w:num>
  <w:num w:numId="4" w16cid:durableId="1850948240">
    <w:abstractNumId w:val="4"/>
  </w:num>
  <w:num w:numId="5" w16cid:durableId="1120220715">
    <w:abstractNumId w:val="7"/>
  </w:num>
  <w:num w:numId="6" w16cid:durableId="1842235448">
    <w:abstractNumId w:val="3"/>
  </w:num>
  <w:num w:numId="7" w16cid:durableId="757217248">
    <w:abstractNumId w:val="2"/>
  </w:num>
  <w:num w:numId="8" w16cid:durableId="1242760943">
    <w:abstractNumId w:val="1"/>
  </w:num>
  <w:num w:numId="9" w16cid:durableId="1356495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6376"/>
    <w:rsid w:val="005C0D99"/>
    <w:rsid w:val="00A044F8"/>
    <w:rsid w:val="00AA1D8D"/>
    <w:rsid w:val="00B47730"/>
    <w:rsid w:val="00CB0664"/>
    <w:rsid w:val="00EF3B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3B2990F-FAAB-4225-BD91-94834B10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ACE_QC-GEN-008_Concrete_Cubes_Cores_Acceptance_20261009_v4.dotx</Template>
  <TotalTime>0</TotalTime>
  <Pages>1</Pages>
  <Words>313</Words>
  <Characters>1790</Characters>
  <Application>Microsoft Office Word</Application>
  <DocSecurity>0</DocSecurity>
  <Lines>14</Lines>
  <Paragraphs>4</Paragraphs>
  <ScaleCrop>false</ScaleCrop>
  <Manager>Ahmed Fathy</Manager>
  <Company>Arab Creators for Engineering Consultancy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ACE-QC-GEN-008 Concrete Cubes and Cores Acceptance</dc:title>
  <dc:subject>قبول نتائج مكعبات الخرسانة والقلب الخرساني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