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1B1BE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1B1BE0" w:rsidRDefault="001B1B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1B1BE0" w:rsidRDefault="001B1B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1B1BE0" w:rsidRDefault="001B1BE0">
            <w:pPr>
              <w:bidi/>
              <w:spacing w:line="240" w:lineRule="auto"/>
            </w:pPr>
          </w:p>
        </w:tc>
      </w:tr>
      <w:tr w:rsidR="001B1BE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1B1BE0" w:rsidRDefault="001B1B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1B1BE0" w:rsidRDefault="001B1B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1B1BE0" w:rsidRDefault="001B1BE0">
            <w:pPr>
              <w:bidi/>
              <w:spacing w:line="240" w:lineRule="auto"/>
            </w:pPr>
          </w:p>
        </w:tc>
      </w:tr>
      <w:tr w:rsidR="001B1BE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1B1BE0" w:rsidRDefault="001B1BE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1B1BE0" w:rsidRDefault="00AA54E3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1B1BE0" w:rsidRDefault="001B1B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B1BE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1B1BE0" w:rsidRDefault="001B1B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1B1BE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1B1BE0" w:rsidRDefault="00AA54E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1B1BE0" w:rsidRDefault="00AA54E3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1B1BE0" w:rsidRDefault="00AA54E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1B1BE0" w:rsidRDefault="00AA54E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</w:tbl>
    <w:p w:rsidR="001B1BE0" w:rsidRDefault="001B1B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B1BE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الدهانات الخارجية للواجهات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External Facade Painting Checklist</w:t>
            </w:r>
          </w:p>
        </w:tc>
      </w:tr>
    </w:tbl>
    <w:p w:rsidR="001B1BE0" w:rsidRDefault="001B1B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1B1BE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B1BE0" w:rsidRDefault="00AA54E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1B1BE0" w:rsidRDefault="00AA54E3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1B1BE0" w:rsidRDefault="00AA54E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1B1BE0" w:rsidRDefault="00AA54E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1B1BE0" w:rsidRDefault="00AA54E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1B1BE0" w:rsidRDefault="00AA54E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الواجهات من الأتربة حتى لا تكون عازلا مع الدهان.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Facades are free of dust that would prevent paint bond.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إنهاء جميع الأعمال الصحية بالواجهة (صرف وتغذية) وترميم أي فتحات.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All facade plumbing (drainage and supply) is complete and openings are patched.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مراشمة وتجليخ الواجهات بالحجر والصنفرة لاستقبال الدهان.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Facades are rubbed with stone and sanded to receive paint.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البريمر بالمعدلات وطبقا لتعليمات المصنع.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Primer applied at manufacturer recommended rates.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سكينة معجون أولى رأسية لكامل السطح.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First putty coat applied vertically over the whole surface.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سكينة معجون ثانية أفقية لكامل السطح.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Second putty coat applied horizontally over the whole surface.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البطانة بنسبة التخفيف حسب تعليمات المصنع.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Undercoat applied at manufacturer dilution ratio.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تلقيط المعجون والصنفرة.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Putty touch-up and sanding.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الوجه الأول بالألوان المطلوبة (أو جوتاشل حسب المواصفات) بنسبة التخفيف المحددة.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First coat (or texture coat per specification) in the required colours at the specified dilution.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الوجه الثاني دون تخفيف طبقا لتعليمات المصنع.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Second coat undiluted per manufacturer instructions.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  <w:tr w:rsidR="001B1BE0">
        <w:trPr>
          <w:cantSplit/>
          <w:jc w:val="center"/>
        </w:trPr>
        <w:tc>
          <w:tcPr>
            <w:tcW w:w="397" w:type="dxa"/>
            <w:vAlign w:val="center"/>
          </w:tcPr>
          <w:p w:rsidR="001B1BE0" w:rsidRDefault="00AA54E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توحيد الرولة في كامل السطح حتى يكون متجانسا.</w:t>
            </w:r>
          </w:p>
        </w:tc>
        <w:tc>
          <w:tcPr>
            <w:tcW w:w="3402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Roller texture is uniform over the whole surface.</w:t>
            </w: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B1BE0" w:rsidRDefault="001B1BE0">
            <w:pPr>
              <w:bidi/>
              <w:spacing w:line="240" w:lineRule="auto"/>
              <w:jc w:val="center"/>
            </w:pPr>
          </w:p>
        </w:tc>
      </w:tr>
    </w:tbl>
    <w:p w:rsidR="001B1BE0" w:rsidRDefault="001B1B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1B1BE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1B1BE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1B1BE0" w:rsidRDefault="00AA54E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1B1BE0" w:rsidRDefault="001B1BE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1B1BE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B1BE0" w:rsidRDefault="00AA54E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1B1BE0" w:rsidRDefault="00AA54E3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1B1BE0" w:rsidRDefault="001B1BE0">
            <w:pPr>
              <w:keepNext/>
              <w:bidi/>
              <w:spacing w:line="240" w:lineRule="auto"/>
            </w:pPr>
          </w:p>
        </w:tc>
      </w:tr>
    </w:tbl>
    <w:p w:rsidR="001B1BE0" w:rsidRDefault="001B1BE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1B1BE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B1BE0" w:rsidRDefault="00AA54E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1B1BE0" w:rsidRDefault="00AA54E3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1B1BE0" w:rsidRDefault="00AA54E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1B1BE0" w:rsidRDefault="00AA54E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1B1BE0" w:rsidRDefault="00AA54E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1B1BE0" w:rsidRDefault="00AA54E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1B1BE0" w:rsidRDefault="00AA54E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1B1BE0" w:rsidRDefault="00AA54E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1B1BE0" w:rsidRDefault="00AA54E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1B1BE0" w:rsidRDefault="00AA54E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1B1BE0" w:rsidRDefault="001B1BE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1B1BE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B1BE0" w:rsidRDefault="00AA54E3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1B1BE0" w:rsidRDefault="00AA54E3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B1BE0" w:rsidRDefault="00AA54E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1B1BE0" w:rsidRDefault="00AA54E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B1BE0" w:rsidRDefault="00AA54E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1B1BE0" w:rsidRDefault="00AA54E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B1BE0" w:rsidRDefault="00AA54E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1B1BE0" w:rsidRDefault="00AA54E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1B1BE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B1BE0" w:rsidRDefault="00AA54E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1B1BE0" w:rsidRDefault="00AA54E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B1BE0" w:rsidRDefault="00AA54E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1B1BE0" w:rsidRDefault="001B1BE0">
      <w:pPr>
        <w:spacing w:line="20" w:lineRule="exact"/>
      </w:pPr>
    </w:p>
    <w:sectPr w:rsidR="001B1BE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54E3" w:rsidRDefault="00AA54E3">
      <w:pPr>
        <w:spacing w:line="240" w:lineRule="auto"/>
      </w:pPr>
      <w:r>
        <w:separator/>
      </w:r>
    </w:p>
  </w:endnote>
  <w:endnote w:type="continuationSeparator" w:id="0">
    <w:p w:rsidR="00AA54E3" w:rsidRDefault="00AA54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1B1BE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1B1BE0" w:rsidRDefault="00AA54E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1B1BE0" w:rsidRDefault="00AA54E3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54E3" w:rsidRDefault="00AA54E3">
      <w:pPr>
        <w:spacing w:line="240" w:lineRule="auto"/>
      </w:pPr>
      <w:r>
        <w:separator/>
      </w:r>
    </w:p>
  </w:footnote>
  <w:footnote w:type="continuationSeparator" w:id="0">
    <w:p w:rsidR="00AA54E3" w:rsidRDefault="00AA54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1B1BE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1B1BE0" w:rsidRDefault="00AA54E3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1B1BE0" w:rsidRDefault="00AA54E3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1B1BE0" w:rsidRDefault="00AA54E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1B1BE0" w:rsidRDefault="00AA54E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1B1BE0" w:rsidRDefault="00AA54E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ACE-QC-ARC-020</w:t>
          </w:r>
        </w:p>
      </w:tc>
    </w:tr>
    <w:tr w:rsidR="001B1BE0">
      <w:trPr>
        <w:trHeight w:val="283"/>
        <w:jc w:val="center"/>
      </w:trPr>
      <w:tc>
        <w:tcPr>
          <w:tcW w:w="2041" w:type="dxa"/>
          <w:vMerge/>
          <w:vAlign w:val="center"/>
        </w:tcPr>
        <w:p w:rsidR="001B1BE0" w:rsidRDefault="001B1BE0"/>
      </w:tc>
      <w:tc>
        <w:tcPr>
          <w:tcW w:w="5669" w:type="dxa"/>
          <w:vMerge/>
          <w:vAlign w:val="center"/>
        </w:tcPr>
        <w:p w:rsidR="001B1BE0" w:rsidRDefault="001B1BE0"/>
      </w:tc>
      <w:tc>
        <w:tcPr>
          <w:tcW w:w="1361" w:type="dxa"/>
          <w:shd w:val="clear" w:color="auto" w:fill="F2F2F2"/>
          <w:vAlign w:val="center"/>
        </w:tcPr>
        <w:p w:rsidR="001B1BE0" w:rsidRDefault="00AA54E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1B1BE0" w:rsidRDefault="00AA54E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1B1BE0">
      <w:trPr>
        <w:trHeight w:val="283"/>
        <w:jc w:val="center"/>
      </w:trPr>
      <w:tc>
        <w:tcPr>
          <w:tcW w:w="2041" w:type="dxa"/>
          <w:vMerge/>
          <w:vAlign w:val="center"/>
        </w:tcPr>
        <w:p w:rsidR="001B1BE0" w:rsidRDefault="001B1BE0"/>
      </w:tc>
      <w:tc>
        <w:tcPr>
          <w:tcW w:w="5669" w:type="dxa"/>
          <w:vMerge w:val="restart"/>
          <w:shd w:val="clear" w:color="auto" w:fill="E7E6E6"/>
          <w:vAlign w:val="center"/>
        </w:tcPr>
        <w:p w:rsidR="001B1BE0" w:rsidRDefault="00AA54E3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الدهانات الخارجية للواجهات</w:t>
          </w:r>
        </w:p>
        <w:p w:rsidR="001B1BE0" w:rsidRDefault="00AA54E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External Facade Painting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1B1BE0" w:rsidRDefault="00AA54E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1B1BE0" w:rsidRDefault="00AA54E3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1B1BE0">
      <w:trPr>
        <w:trHeight w:val="283"/>
        <w:jc w:val="center"/>
      </w:trPr>
      <w:tc>
        <w:tcPr>
          <w:tcW w:w="2041" w:type="dxa"/>
          <w:vMerge/>
          <w:vAlign w:val="center"/>
        </w:tcPr>
        <w:p w:rsidR="001B1BE0" w:rsidRDefault="001B1BE0"/>
      </w:tc>
      <w:tc>
        <w:tcPr>
          <w:tcW w:w="5669" w:type="dxa"/>
          <w:vMerge/>
          <w:vAlign w:val="center"/>
        </w:tcPr>
        <w:p w:rsidR="001B1BE0" w:rsidRDefault="001B1BE0"/>
      </w:tc>
      <w:tc>
        <w:tcPr>
          <w:tcW w:w="1361" w:type="dxa"/>
          <w:shd w:val="clear" w:color="auto" w:fill="F2F2F2"/>
          <w:vAlign w:val="center"/>
        </w:tcPr>
        <w:p w:rsidR="001B1BE0" w:rsidRDefault="00AA54E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1B1BE0" w:rsidRDefault="00AA54E3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1B1BE0" w:rsidRDefault="001B1BE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9785576">
    <w:abstractNumId w:val="8"/>
  </w:num>
  <w:num w:numId="2" w16cid:durableId="1741252003">
    <w:abstractNumId w:val="6"/>
  </w:num>
  <w:num w:numId="3" w16cid:durableId="1157185884">
    <w:abstractNumId w:val="5"/>
  </w:num>
  <w:num w:numId="4" w16cid:durableId="583144179">
    <w:abstractNumId w:val="4"/>
  </w:num>
  <w:num w:numId="5" w16cid:durableId="1658801968">
    <w:abstractNumId w:val="7"/>
  </w:num>
  <w:num w:numId="6" w16cid:durableId="841551031">
    <w:abstractNumId w:val="3"/>
  </w:num>
  <w:num w:numId="7" w16cid:durableId="547570986">
    <w:abstractNumId w:val="2"/>
  </w:num>
  <w:num w:numId="8" w16cid:durableId="926426305">
    <w:abstractNumId w:val="1"/>
  </w:num>
  <w:num w:numId="9" w16cid:durableId="54830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1BE0"/>
    <w:rsid w:val="0029639D"/>
    <w:rsid w:val="00326F90"/>
    <w:rsid w:val="005C0D99"/>
    <w:rsid w:val="007C5052"/>
    <w:rsid w:val="00AA1D8D"/>
    <w:rsid w:val="00AA54E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CBB9B03-301A-4A6E-836E-694F3372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ACE_QC-ARC-020_Facade_Painting_20261009_v4.dotx</Template>
  <TotalTime>0</TotalTime>
  <Pages>1</Pages>
  <Words>564</Words>
  <Characters>3215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ACE-QC-ARC-020 External Facade Painting Inspection</dc:title>
  <dc:subject>فحص واستلام الدهانات الخارجية للواجهات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