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B0867" w14:textId="77777777" w:rsidR="00581241" w:rsidRDefault="009A0115">
      <w:pPr>
        <w:keepNext/>
        <w:bidi/>
        <w:spacing w:after="120"/>
        <w:jc w:val="center"/>
      </w:pPr>
      <w:r>
        <w:rPr>
          <w:b/>
          <w:bCs/>
          <w:color w:val="052976"/>
          <w:sz w:val="40"/>
          <w:szCs w:val="40"/>
          <w:rtl/>
        </w:rPr>
        <w:t>دليل ربط نقاط التوقف بالبرنامج الزمني Primavera P6</w:t>
      </w:r>
    </w:p>
    <w:p w14:paraId="6F3E2D0F" w14:textId="77777777" w:rsidR="00581241" w:rsidRDefault="009A0115">
      <w:pPr>
        <w:bidi/>
        <w:spacing w:after="160"/>
        <w:jc w:val="center"/>
      </w:pPr>
      <w:r>
        <w:rPr>
          <w:color w:val="5B6475"/>
          <w:sz w:val="21"/>
          <w:szCs w:val="21"/>
          <w:rtl/>
        </w:rPr>
        <w:t>قالب مبنى أرضي وثلاثة أدوار، مرتبط بمحاضر الاستلام ACE_Inspection_Minutes_20261005_v2</w:t>
      </w:r>
    </w:p>
    <w:p w14:paraId="3F5389E4" w14:textId="77777777" w:rsidR="00581241" w:rsidRDefault="009A0115">
      <w:pPr>
        <w:keepNext/>
        <w:pBdr>
          <w:bottom w:val="single" w:sz="8" w:space="1" w:color="2633FF"/>
        </w:pBdr>
        <w:bidi/>
        <w:spacing w:before="200" w:after="120"/>
        <w:outlineLvl w:val="0"/>
      </w:pPr>
      <w:r>
        <w:rPr>
          <w:b/>
          <w:bCs/>
          <w:color w:val="052976"/>
          <w:sz w:val="30"/>
          <w:szCs w:val="30"/>
          <w:rtl/>
        </w:rPr>
        <w:t>1. محتويات الحزمة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6"/>
        <w:gridCol w:w="5159"/>
      </w:tblGrid>
      <w:tr w:rsidR="00581241" w14:paraId="5A89CAB3" w14:textId="77777777">
        <w:trPr>
          <w:cantSplit/>
          <w:tblHeader/>
          <w:jc w:val="center"/>
        </w:trPr>
        <w:tc>
          <w:tcPr>
            <w:tcW w:w="4876" w:type="dxa"/>
            <w:shd w:val="clear" w:color="auto" w:fill="052976"/>
          </w:tcPr>
          <w:p w14:paraId="02DDC9F9" w14:textId="77777777" w:rsidR="00581241" w:rsidRDefault="009A0115">
            <w:pPr>
              <w:bidi/>
              <w:jc w:val="center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الملف</w:t>
            </w:r>
          </w:p>
        </w:tc>
        <w:tc>
          <w:tcPr>
            <w:tcW w:w="5159" w:type="dxa"/>
            <w:shd w:val="clear" w:color="auto" w:fill="052976"/>
          </w:tcPr>
          <w:p w14:paraId="1199F647" w14:textId="77777777" w:rsidR="00581241" w:rsidRDefault="009A0115">
            <w:pPr>
              <w:bidi/>
              <w:jc w:val="center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الاستخدام</w:t>
            </w:r>
          </w:p>
        </w:tc>
      </w:tr>
      <w:tr w:rsidR="00581241" w14:paraId="420D4486" w14:textId="77777777">
        <w:trPr>
          <w:cantSplit/>
          <w:jc w:val="center"/>
        </w:trPr>
        <w:tc>
          <w:tcPr>
            <w:tcW w:w="4876" w:type="dxa"/>
          </w:tcPr>
          <w:p w14:paraId="73321BC0" w14:textId="77777777" w:rsidR="00581241" w:rsidRDefault="009A0115">
            <w:pPr>
              <w:bidi/>
            </w:pPr>
            <w:r>
              <w:rPr>
                <w:sz w:val="17"/>
                <w:szCs w:val="17"/>
                <w:rtl/>
              </w:rPr>
              <w:t>ACE_ITP_HoldPoints_Template_20261005_v1.xer</w:t>
            </w:r>
          </w:p>
        </w:tc>
        <w:tc>
          <w:tcPr>
            <w:tcW w:w="5159" w:type="dxa"/>
          </w:tcPr>
          <w:p w14:paraId="645F9613" w14:textId="77777777" w:rsidR="00581241" w:rsidRDefault="009A0115">
            <w:pPr>
              <w:bidi/>
            </w:pPr>
            <w:r>
              <w:rPr>
                <w:sz w:val="17"/>
                <w:szCs w:val="17"/>
                <w:rtl/>
              </w:rPr>
              <w:t>القالب بأسماء عربية، ترميز Windows Arabic (1256) المطابق لإعدادات الجهاز الحالية.</w:t>
            </w:r>
          </w:p>
        </w:tc>
      </w:tr>
      <w:tr w:rsidR="00581241" w14:paraId="69D054D7" w14:textId="77777777">
        <w:trPr>
          <w:cantSplit/>
          <w:jc w:val="center"/>
        </w:trPr>
        <w:tc>
          <w:tcPr>
            <w:tcW w:w="4876" w:type="dxa"/>
          </w:tcPr>
          <w:p w14:paraId="120A988E" w14:textId="77777777" w:rsidR="00581241" w:rsidRDefault="009A0115">
            <w:pPr>
              <w:bidi/>
            </w:pPr>
            <w:r>
              <w:rPr>
                <w:sz w:val="17"/>
                <w:szCs w:val="17"/>
                <w:rtl/>
              </w:rPr>
              <w:t>ACE_ITP_HoldPoints_Template_EN_20261005_v1.xer</w:t>
            </w:r>
          </w:p>
        </w:tc>
        <w:tc>
          <w:tcPr>
            <w:tcW w:w="5159" w:type="dxa"/>
          </w:tcPr>
          <w:p w14:paraId="3B8B4B30" w14:textId="77777777" w:rsidR="00581241" w:rsidRDefault="009A0115">
            <w:pPr>
              <w:bidi/>
            </w:pPr>
            <w:r>
              <w:rPr>
                <w:sz w:val="17"/>
                <w:szCs w:val="17"/>
                <w:rtl/>
              </w:rPr>
              <w:t>نفس القالب بأسماء إنجليزية، يستخدم إذا ظهرت الحروف العربية غير مقروءة أو للمقاول الأجنبي.</w:t>
            </w:r>
          </w:p>
        </w:tc>
      </w:tr>
      <w:tr w:rsidR="00581241" w14:paraId="7ED353B9" w14:textId="77777777">
        <w:trPr>
          <w:cantSplit/>
          <w:jc w:val="center"/>
        </w:trPr>
        <w:tc>
          <w:tcPr>
            <w:tcW w:w="4876" w:type="dxa"/>
          </w:tcPr>
          <w:p w14:paraId="7853A53A" w14:textId="77777777" w:rsidR="00581241" w:rsidRDefault="009A0115">
            <w:pPr>
              <w:bidi/>
            </w:pPr>
            <w:r>
              <w:rPr>
                <w:sz w:val="17"/>
                <w:szCs w:val="17"/>
                <w:rtl/>
              </w:rPr>
              <w:t>ACE_ITP_P6_Mapping_20261005_v1.xlsx</w:t>
            </w:r>
          </w:p>
        </w:tc>
        <w:tc>
          <w:tcPr>
            <w:tcW w:w="5159" w:type="dxa"/>
          </w:tcPr>
          <w:p w14:paraId="3BF69C34" w14:textId="77777777" w:rsidR="00581241" w:rsidRDefault="009A0115">
            <w:pPr>
              <w:bidi/>
            </w:pPr>
            <w:r>
              <w:rPr>
                <w:sz w:val="17"/>
                <w:szCs w:val="17"/>
                <w:rtl/>
              </w:rPr>
              <w:t>جدول الربط بين كل نشاط IR ومواضيع الفحص ورقم المحضر، وورقة متابعة المخطط مقابل الفعلي.</w:t>
            </w:r>
          </w:p>
        </w:tc>
      </w:tr>
      <w:tr w:rsidR="00581241" w14:paraId="39732F1B" w14:textId="77777777">
        <w:trPr>
          <w:cantSplit/>
          <w:jc w:val="center"/>
        </w:trPr>
        <w:tc>
          <w:tcPr>
            <w:tcW w:w="4876" w:type="dxa"/>
          </w:tcPr>
          <w:p w14:paraId="0C3FE270" w14:textId="77777777" w:rsidR="00581241" w:rsidRDefault="009A0115">
            <w:pPr>
              <w:bidi/>
            </w:pPr>
            <w:r>
              <w:rPr>
                <w:sz w:val="17"/>
                <w:szCs w:val="17"/>
                <w:rtl/>
              </w:rPr>
              <w:t>ACE_Inspection_Minutes_20261005_v2.docx</w:t>
            </w:r>
          </w:p>
        </w:tc>
        <w:tc>
          <w:tcPr>
            <w:tcW w:w="5159" w:type="dxa"/>
          </w:tcPr>
          <w:p w14:paraId="09DE8A7A" w14:textId="77777777" w:rsidR="00581241" w:rsidRDefault="009A0115">
            <w:pPr>
              <w:bidi/>
            </w:pPr>
            <w:r>
              <w:rPr>
                <w:sz w:val="17"/>
                <w:szCs w:val="17"/>
                <w:rtl/>
              </w:rPr>
              <w:t>نماذج المحاضر، رقم المحضر يظهر في اسم النشاط الإنجليزي بالصيغة IM-xxx.</w:t>
            </w:r>
          </w:p>
        </w:tc>
      </w:tr>
    </w:tbl>
    <w:p w14:paraId="12E2EEE9" w14:textId="77777777" w:rsidR="00581241" w:rsidRDefault="009A0115">
      <w:pPr>
        <w:bidi/>
        <w:spacing w:after="120"/>
      </w:pPr>
      <w:r>
        <w:rPr>
          <w:sz w:val="21"/>
          <w:szCs w:val="21"/>
          <w:rtl/>
        </w:rPr>
        <w:t>القالب يضم 444 نشاطا منها 211 نشاط استلام H و 11 معلم شهود W، و 613 علاقة كلها FS بدون Lag، وتقويم 6 أيام عمل من السبت إلى الخميس بثماني ساعات يوميا. البداية 1 نوفمبر 2026، الاستلام الابتدائي 25 نوفمبر 2027، الاستلام النهائي 7 ديسمبر 2028 بعد فترة الضمان.</w:t>
      </w:r>
    </w:p>
    <w:p w14:paraId="26F41ACA" w14:textId="77777777" w:rsidR="00581241" w:rsidRDefault="009A0115">
      <w:pPr>
        <w:keepNext/>
        <w:pBdr>
          <w:bottom w:val="single" w:sz="8" w:space="1" w:color="2633FF"/>
        </w:pBdr>
        <w:bidi/>
        <w:spacing w:before="200" w:after="120"/>
        <w:outlineLvl w:val="0"/>
      </w:pPr>
      <w:r>
        <w:rPr>
          <w:b/>
          <w:bCs/>
          <w:color w:val="052976"/>
          <w:sz w:val="30"/>
          <w:szCs w:val="30"/>
          <w:rtl/>
        </w:rPr>
        <w:t>2. استيراد ملف XER</w:t>
      </w:r>
    </w:p>
    <w:p w14:paraId="7DB48F6C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2.1 من قائمة File اختر Import ثم Primavera PM (XER) ثم Project، وحدد ملف القالب.</w:t>
      </w:r>
    </w:p>
    <w:p w14:paraId="12EF0C7C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2.2 في شاشة Import Project Options اختر Create New Project وحدد عقدة EPS الخاصة بالمشروع.</w:t>
      </w:r>
    </w:p>
    <w:p w14:paraId="77BEBA66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2.3 في Update Project Options اترك Activity Codes و Calendars على Insert new، فالأكواد والتقويم على مستوى المشروع ولا تمس القواميس العامة.</w:t>
      </w:r>
    </w:p>
    <w:p w14:paraId="6B01D496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2.4 بعد الاستيراد غير كود المشروع ACE-ITP-G3 واسمه، وعدل تاريخ أمر المباشرة PRE-1010 (حاليا 1 نوفمبر 2026) ثم اضبط Data Date واضغط F9.</w:t>
      </w:r>
    </w:p>
    <w:p w14:paraId="4045704F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2.5 راجع تقويم ACE KSA 6-Day Sat-Thu 8h: الجمعة عطلة، وتواريخ الأعياد تقديرية تعدل حسب تقويم أم القرى قبل اعتماد البرنامج.</w:t>
      </w:r>
    </w:p>
    <w:p w14:paraId="42F25D3E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2.6 احذف أنشطة WBS ITP.9 (الأنظمة البديلة) غير المطلوبة، أو انقل المطلوب منها إلى مكانه في التسلسل واربطه بالنشاط السابق واللاحق الفعلي.</w:t>
      </w:r>
    </w:p>
    <w:p w14:paraId="66EFE57E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2.7 احفظ Baseline قبل أول تحديث من Project ثم Maintain Baselines، وعينه Project Baseline.</w:t>
      </w:r>
    </w:p>
    <w:p w14:paraId="1C44080A" w14:textId="77777777" w:rsidR="00581241" w:rsidRDefault="009A0115">
      <w:pPr>
        <w:keepNext/>
        <w:pBdr>
          <w:bottom w:val="single" w:sz="8" w:space="1" w:color="2633FF"/>
        </w:pBdr>
        <w:bidi/>
        <w:spacing w:before="200" w:after="120"/>
        <w:outlineLvl w:val="0"/>
      </w:pPr>
      <w:r>
        <w:rPr>
          <w:b/>
          <w:bCs/>
          <w:color w:val="052976"/>
          <w:sz w:val="30"/>
          <w:szCs w:val="30"/>
          <w:rtl/>
        </w:rPr>
        <w:t>3. منطق القالب والأكواد</w:t>
      </w:r>
    </w:p>
    <w:p w14:paraId="78F5255F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كل نشاط عمل يليه نشاط استلام مدته يوم واحد باسم ينتهي بـ IR، ثم النشاط الذي يغطي العمل أو يصب عليه. مثال: حدادة بلاطات سقف الدور الأول ثم "استلام حديد البلاطات سقف الدور الأول IR" ثم تمديدات الكهرباء ثم استلام ما قبل الصب ثم الصب. معلم W بعد كل صب يمثل شهود أخذ العينات ولا يوقف العمل.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2381"/>
        <w:gridCol w:w="5613"/>
      </w:tblGrid>
      <w:tr w:rsidR="00581241" w14:paraId="0A343FE0" w14:textId="77777777">
        <w:trPr>
          <w:cantSplit/>
          <w:tblHeader/>
          <w:jc w:val="center"/>
        </w:trPr>
        <w:tc>
          <w:tcPr>
            <w:tcW w:w="2041" w:type="dxa"/>
            <w:shd w:val="clear" w:color="auto" w:fill="052976"/>
          </w:tcPr>
          <w:p w14:paraId="6FA7A120" w14:textId="77777777" w:rsidR="00581241" w:rsidRDefault="009A0115">
            <w:pPr>
              <w:bidi/>
              <w:jc w:val="center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كود النشاط</w:t>
            </w:r>
          </w:p>
        </w:tc>
        <w:tc>
          <w:tcPr>
            <w:tcW w:w="2381" w:type="dxa"/>
            <w:shd w:val="clear" w:color="auto" w:fill="052976"/>
          </w:tcPr>
          <w:p w14:paraId="0CDD2CF5" w14:textId="77777777" w:rsidR="00581241" w:rsidRDefault="009A0115">
            <w:pPr>
              <w:bidi/>
              <w:jc w:val="center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القيم</w:t>
            </w:r>
          </w:p>
        </w:tc>
        <w:tc>
          <w:tcPr>
            <w:tcW w:w="5613" w:type="dxa"/>
            <w:shd w:val="clear" w:color="auto" w:fill="052976"/>
          </w:tcPr>
          <w:p w14:paraId="1C126EE0" w14:textId="77777777" w:rsidR="00581241" w:rsidRDefault="009A0115">
            <w:pPr>
              <w:bidi/>
              <w:jc w:val="center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الاستخدام</w:t>
            </w:r>
          </w:p>
        </w:tc>
      </w:tr>
      <w:tr w:rsidR="00581241" w14:paraId="6CFE6E78" w14:textId="77777777">
        <w:trPr>
          <w:cantSplit/>
          <w:jc w:val="center"/>
        </w:trPr>
        <w:tc>
          <w:tcPr>
            <w:tcW w:w="2041" w:type="dxa"/>
          </w:tcPr>
          <w:p w14:paraId="11832635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Trade</w:t>
            </w:r>
          </w:p>
        </w:tc>
        <w:tc>
          <w:tcPr>
            <w:tcW w:w="2381" w:type="dxa"/>
          </w:tcPr>
          <w:p w14:paraId="6F5D6AB6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GEN إلى HAND (26 قيمة)</w:t>
            </w:r>
          </w:p>
        </w:tc>
        <w:tc>
          <w:tcPr>
            <w:tcW w:w="5613" w:type="dxa"/>
          </w:tcPr>
          <w:p w14:paraId="6DD3AF71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التخصص حسب تقسيم قاعدة بنود الفحص، للتجميع والتصفية حسب مهندس التخصص.</w:t>
            </w:r>
          </w:p>
        </w:tc>
      </w:tr>
      <w:tr w:rsidR="00581241" w14:paraId="1EDC4D51" w14:textId="77777777">
        <w:trPr>
          <w:cantSplit/>
          <w:jc w:val="center"/>
        </w:trPr>
        <w:tc>
          <w:tcPr>
            <w:tcW w:w="2041" w:type="dxa"/>
          </w:tcPr>
          <w:p w14:paraId="77E0EB80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Inspection Type</w:t>
            </w:r>
          </w:p>
        </w:tc>
        <w:tc>
          <w:tcPr>
            <w:tcW w:w="2381" w:type="dxa"/>
          </w:tcPr>
          <w:p w14:paraId="0AB77BB9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H ، W</w:t>
            </w:r>
          </w:p>
        </w:tc>
        <w:tc>
          <w:tcPr>
            <w:tcW w:w="5613" w:type="dxa"/>
          </w:tcPr>
          <w:p w14:paraId="3C12232D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H نقطة توقف لا يبدأ اللاحق قبل اعتمادها، W نقطة شهود. الأنشطة غير المكودة أنشطة عمل.</w:t>
            </w:r>
          </w:p>
        </w:tc>
      </w:tr>
      <w:tr w:rsidR="00581241" w14:paraId="4E583CBC" w14:textId="77777777">
        <w:trPr>
          <w:cantSplit/>
          <w:jc w:val="center"/>
        </w:trPr>
        <w:tc>
          <w:tcPr>
            <w:tcW w:w="2041" w:type="dxa"/>
          </w:tcPr>
          <w:p w14:paraId="048ED959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Level</w:t>
            </w:r>
          </w:p>
        </w:tc>
        <w:tc>
          <w:tcPr>
            <w:tcW w:w="2381" w:type="dxa"/>
          </w:tcPr>
          <w:p w14:paraId="7734D24B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GF ، 1F ، 2F ، 3F ، RF ، EXT ، ALL</w:t>
            </w:r>
          </w:p>
        </w:tc>
        <w:tc>
          <w:tcPr>
            <w:tcW w:w="5613" w:type="dxa"/>
          </w:tcPr>
          <w:p w14:paraId="40747278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الدور أو المنطقة، لإعداد خطة الفحص لكل دور.</w:t>
            </w:r>
          </w:p>
        </w:tc>
      </w:tr>
    </w:tbl>
    <w:p w14:paraId="2A1EDBA7" w14:textId="77777777" w:rsidR="00581241" w:rsidRDefault="00581241">
      <w:pPr>
        <w:bidi/>
        <w:spacing w:after="40"/>
      </w:pP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7994"/>
      </w:tblGrid>
      <w:tr w:rsidR="00581241" w14:paraId="36A77809" w14:textId="77777777">
        <w:trPr>
          <w:cantSplit/>
          <w:tblHeader/>
          <w:jc w:val="center"/>
        </w:trPr>
        <w:tc>
          <w:tcPr>
            <w:tcW w:w="2041" w:type="dxa"/>
            <w:shd w:val="clear" w:color="auto" w:fill="052976"/>
          </w:tcPr>
          <w:p w14:paraId="7CDD69F5" w14:textId="77777777" w:rsidR="00581241" w:rsidRDefault="009A0115">
            <w:pPr>
              <w:bidi/>
              <w:jc w:val="center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WBS</w:t>
            </w:r>
          </w:p>
        </w:tc>
        <w:tc>
          <w:tcPr>
            <w:tcW w:w="7994" w:type="dxa"/>
            <w:shd w:val="clear" w:color="auto" w:fill="052976"/>
          </w:tcPr>
          <w:p w14:paraId="5536E978" w14:textId="77777777" w:rsidR="00581241" w:rsidRDefault="009A0115">
            <w:pPr>
              <w:bidi/>
              <w:jc w:val="center"/>
            </w:pPr>
            <w:r>
              <w:rPr>
                <w:b/>
                <w:bCs/>
                <w:color w:val="FFFFFF"/>
                <w:sz w:val="19"/>
                <w:szCs w:val="19"/>
                <w:rtl/>
              </w:rPr>
              <w:t>المحتوى</w:t>
            </w:r>
          </w:p>
        </w:tc>
      </w:tr>
      <w:tr w:rsidR="00581241" w14:paraId="730C5147" w14:textId="77777777">
        <w:trPr>
          <w:cantSplit/>
          <w:jc w:val="center"/>
        </w:trPr>
        <w:tc>
          <w:tcPr>
            <w:tcW w:w="2041" w:type="dxa"/>
          </w:tcPr>
          <w:p w14:paraId="51B4CA22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ITP.1</w:t>
            </w:r>
          </w:p>
        </w:tc>
        <w:tc>
          <w:tcPr>
            <w:tcW w:w="7994" w:type="dxa"/>
          </w:tcPr>
          <w:p w14:paraId="1FBB6487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الأعمال التمهيدية والاعتمادات: استلام الموقع، الجسات، الخلطة، مواد المباني، المخططات الكهروميكانيكية.</w:t>
            </w:r>
          </w:p>
        </w:tc>
      </w:tr>
      <w:tr w:rsidR="00581241" w14:paraId="42BE0803" w14:textId="77777777">
        <w:trPr>
          <w:cantSplit/>
          <w:jc w:val="center"/>
        </w:trPr>
        <w:tc>
          <w:tcPr>
            <w:tcW w:w="2041" w:type="dxa"/>
          </w:tcPr>
          <w:p w14:paraId="3A970083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ITP.2</w:t>
            </w:r>
          </w:p>
        </w:tc>
        <w:tc>
          <w:tcPr>
            <w:tcW w:w="7994" w:type="dxa"/>
          </w:tcPr>
          <w:p w14:paraId="4DFB74D6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تحت منسوب الأرض: التوقيع، الحفر، الإحلال، القواعد، الرقاب، العزل، الميدات، الردم، البلاطة الأرضية، الخزان والبيارة.</w:t>
            </w:r>
          </w:p>
        </w:tc>
      </w:tr>
      <w:tr w:rsidR="00581241" w14:paraId="26C34D08" w14:textId="77777777">
        <w:trPr>
          <w:cantSplit/>
          <w:jc w:val="center"/>
        </w:trPr>
        <w:tc>
          <w:tcPr>
            <w:tcW w:w="2041" w:type="dxa"/>
          </w:tcPr>
          <w:p w14:paraId="0F4645DE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ITP.3</w:t>
            </w:r>
          </w:p>
        </w:tc>
        <w:tc>
          <w:tcPr>
            <w:tcW w:w="7994" w:type="dxa"/>
          </w:tcPr>
          <w:p w14:paraId="15F302E8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الهيكل الخرساني لكل دور: الأعمدة ثم السقف، مع فك الشدة بعد اعتماد نتائج المكعبات.</w:t>
            </w:r>
          </w:p>
        </w:tc>
      </w:tr>
      <w:tr w:rsidR="00581241" w14:paraId="6244CE32" w14:textId="77777777">
        <w:trPr>
          <w:cantSplit/>
          <w:jc w:val="center"/>
        </w:trPr>
        <w:tc>
          <w:tcPr>
            <w:tcW w:w="2041" w:type="dxa"/>
          </w:tcPr>
          <w:p w14:paraId="2D6F0213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ITP.4 / ITP.5 / ITP.6</w:t>
            </w:r>
          </w:p>
        </w:tc>
        <w:tc>
          <w:tcPr>
            <w:tcW w:w="7994" w:type="dxa"/>
          </w:tcPr>
          <w:p w14:paraId="16AF6866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لكل دور: التأسيس الكهروميكانيكي، التشطيبات، التركيبات النهائية، ثم السطح والأنظمة الرئيسية.</w:t>
            </w:r>
          </w:p>
        </w:tc>
      </w:tr>
      <w:tr w:rsidR="00581241" w14:paraId="009BBC6B" w14:textId="77777777">
        <w:trPr>
          <w:cantSplit/>
          <w:jc w:val="center"/>
        </w:trPr>
        <w:tc>
          <w:tcPr>
            <w:tcW w:w="2041" w:type="dxa"/>
          </w:tcPr>
          <w:p w14:paraId="04A73666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ITP.7 / ITP.8</w:t>
            </w:r>
          </w:p>
        </w:tc>
        <w:tc>
          <w:tcPr>
            <w:tcW w:w="7994" w:type="dxa"/>
          </w:tcPr>
          <w:p w14:paraId="1DDE9F8E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الأعمال الخارجية، ثم الاختبارات والتشغيل ولجان الاستلام الابتدائي والنهائي.</w:t>
            </w:r>
          </w:p>
        </w:tc>
      </w:tr>
      <w:tr w:rsidR="00581241" w14:paraId="24559911" w14:textId="77777777">
        <w:trPr>
          <w:cantSplit/>
          <w:jc w:val="center"/>
        </w:trPr>
        <w:tc>
          <w:tcPr>
            <w:tcW w:w="2041" w:type="dxa"/>
          </w:tcPr>
          <w:p w14:paraId="71980054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ITP.9</w:t>
            </w:r>
          </w:p>
        </w:tc>
        <w:tc>
          <w:tcPr>
            <w:tcW w:w="7994" w:type="dxa"/>
          </w:tcPr>
          <w:p w14:paraId="6F517DD7" w14:textId="77777777" w:rsidR="00581241" w:rsidRDefault="009A0115">
            <w:pPr>
              <w:bidi/>
            </w:pPr>
            <w:r>
              <w:rPr>
                <w:sz w:val="19"/>
                <w:szCs w:val="19"/>
                <w:rtl/>
              </w:rPr>
              <w:t>أنظمة بديلة اختيارية: خوازيق، هوردي، فلات، شد لاحق، Hollow Core، منشآت معدنية، أسفلت، إيبوكسي، قرميد.</w:t>
            </w:r>
          </w:p>
        </w:tc>
      </w:tr>
    </w:tbl>
    <w:p w14:paraId="02DDF3AD" w14:textId="77777777" w:rsidR="00581241" w:rsidRDefault="009A0115">
      <w:pPr>
        <w:keepNext/>
        <w:pBdr>
          <w:bottom w:val="single" w:sz="8" w:space="1" w:color="2633FF"/>
        </w:pBdr>
        <w:bidi/>
        <w:spacing w:before="200" w:after="120"/>
        <w:outlineLvl w:val="0"/>
      </w:pPr>
      <w:r>
        <w:rPr>
          <w:b/>
          <w:bCs/>
          <w:color w:val="052976"/>
          <w:sz w:val="30"/>
          <w:szCs w:val="30"/>
          <w:rtl/>
        </w:rPr>
        <w:lastRenderedPageBreak/>
        <w:t>4. إظهار نقاط التوقف في P6</w:t>
      </w:r>
    </w:p>
    <w:p w14:paraId="17D9E6CD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4.1 فلتر Hold Points: من View ثم Filters أنشئ فلترا شرطه Inspection Type equals H. وفلتر Witness بنفس الطريقة بقيمة W.</w:t>
      </w:r>
    </w:p>
    <w:p w14:paraId="1D780DBC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4.2 فلتر الأسبوعين القادمين: Inspection Type equals H مع Start within range من Data Date إلى Data Date + 14 يوما. يرسل للمقاول كخطة طلبات الاستلام.</w:t>
      </w:r>
    </w:p>
    <w:p w14:paraId="21B3A5D0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4.3 Layout باسم ACE ITP: Group and Sort حسب Level ثم Trade، والأعمدة Activity ID، Activity Name، Inspection Type، Trade، Start، Finish، Total Float.</w:t>
      </w:r>
    </w:p>
    <w:p w14:paraId="03ECDF1A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4.4 في Bars أضف شريطا باسم IR Hold بلون أحمر مربوطا بفلتر Hold Points، وشكل معلم أزرق لفلتر Witness، ليظهر كل IR على المخطط الشريطي.</w:t>
      </w:r>
    </w:p>
    <w:p w14:paraId="3137A750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4.5 للتحقق من التغطية: فلتر Inspection Type equals H يعطي عدد نقاط التوقف، ويطابق عدد صفوف ورقة IR_Tracking في ملف Excel.</w:t>
      </w:r>
    </w:p>
    <w:p w14:paraId="3F1A6AC0" w14:textId="77777777" w:rsidR="00581241" w:rsidRDefault="009A0115">
      <w:pPr>
        <w:keepNext/>
        <w:pBdr>
          <w:bottom w:val="single" w:sz="8" w:space="1" w:color="2633FF"/>
        </w:pBdr>
        <w:bidi/>
        <w:spacing w:before="200" w:after="120"/>
        <w:outlineLvl w:val="0"/>
      </w:pPr>
      <w:r>
        <w:rPr>
          <w:b/>
          <w:bCs/>
          <w:color w:val="052976"/>
          <w:sz w:val="30"/>
          <w:szCs w:val="30"/>
          <w:rtl/>
        </w:rPr>
        <w:t>5. التحديث الأسبوعي</w:t>
      </w:r>
    </w:p>
    <w:p w14:paraId="737E148C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5.1 حدد Data Date يوم الخميس، وسجل Actual Start و Actual Finish لأنشطة العمل، والمدة المتبقية للأنشطة الجارية.</w:t>
      </w:r>
    </w:p>
    <w:p w14:paraId="46E74608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5.2 نشاط IR يقفل بتاريخ اعتماد المحضر الموقع فقط. إذا رفض الطلب يبقى النشاط جاريا حتى إعادة الفحص والاعتماد، ولا يسجل بدء النشاط اللاحق قبل ذلك.</w:t>
      </w:r>
    </w:p>
    <w:p w14:paraId="31766E75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5.3 اضغط F9 وراجع Schedule Log: أي نشاط لاحق بدأ قبل اعتماد IR يظهر Out of Sequence ويعد مخالفة لنقطة توقف تسجل في تقرير الجودة.</w:t>
      </w:r>
    </w:p>
    <w:p w14:paraId="27785845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5.4 صدر أعمدة Activity ID و Start و Finish و Total Float إلى Excel والصقها في ورقة P6_Export، فيتحدث التاريخ المخطط في Mapping و IR_Tracking آليا.</w:t>
      </w:r>
    </w:p>
    <w:p w14:paraId="4EDF19C5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5.5 أدخل في IR_Tracking رقم الطلب وتاريخ التقديم والفحص والنتيجة، واضبط تاريخ البيانات في ورقة Guide. تحسب أيام التأخير بأيام العمل مع استبعاد الجمعة والعطلات.</w:t>
      </w:r>
    </w:p>
    <w:p w14:paraId="5FEC7813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5.6 راجع ورقة Summary: الطلبات المتأخرة حسب الدور والتخصص، ومتوسط التأخير. أي IR على المسار الحرج متأخر يرفع لمدير المشروع في نفس اليوم.</w:t>
      </w:r>
    </w:p>
    <w:p w14:paraId="0DC7651F" w14:textId="77777777" w:rsidR="00581241" w:rsidRDefault="009A0115">
      <w:pPr>
        <w:keepNext/>
        <w:pBdr>
          <w:bottom w:val="single" w:sz="8" w:space="1" w:color="2633FF"/>
        </w:pBdr>
        <w:bidi/>
        <w:spacing w:before="200" w:after="120"/>
        <w:outlineLvl w:val="0"/>
      </w:pPr>
      <w:r>
        <w:rPr>
          <w:b/>
          <w:bCs/>
          <w:color w:val="052976"/>
          <w:sz w:val="30"/>
          <w:szCs w:val="30"/>
          <w:rtl/>
        </w:rPr>
        <w:t>6. ضوابط</w:t>
      </w:r>
    </w:p>
    <w:p w14:paraId="357EFF2C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6.1 لا تحذف نشاط IR ولا تختصره إلى صفر، ولا تستبدل العلاقة FS بعلاقة SS، حتى يبقى أثر الاستلام ظاهرا على المسار الحرج.</w:t>
      </w:r>
    </w:p>
    <w:p w14:paraId="64101B91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6.2 لا توضع قيود Hard Constraints على أنشطة IR؛ موعد الفحص ناتج عن المنطق.</w:t>
      </w:r>
    </w:p>
    <w:p w14:paraId="58FE68AF" w14:textId="77777777" w:rsidR="00581241" w:rsidRDefault="009A0115">
      <w:pPr>
        <w:bidi/>
        <w:spacing w:after="80"/>
      </w:pPr>
      <w:r>
        <w:rPr>
          <w:sz w:val="21"/>
          <w:szCs w:val="21"/>
          <w:rtl/>
        </w:rPr>
        <w:t>6.3 مدد الأنشطة في القالب تقديرية لمبنى نموذجي وتعدل حسب الكميات وطاقة الفرق قبل الاعتماد. فائض الأدوار الأولى والأعمال الخارجية مرتفع لأن القالب غير محمل بالموارد.</w:t>
      </w:r>
    </w:p>
    <w:p w14:paraId="3302E7B4" w14:textId="77777777" w:rsidR="00581241" w:rsidRDefault="00581241">
      <w:pPr>
        <w:bidi/>
        <w:spacing w:after="120"/>
      </w:pPr>
    </w:p>
    <w:p w14:paraId="117FADF9" w14:textId="77777777" w:rsidR="00581241" w:rsidRDefault="009A0115">
      <w:pPr>
        <w:bidi/>
        <w:spacing w:after="80"/>
      </w:pPr>
      <w:r>
        <w:rPr>
          <w:b/>
          <w:bCs/>
          <w:color w:val="052976"/>
          <w:rtl/>
        </w:rPr>
        <w:t>م/ أحمد فتحي، مدير المشاريع</w:t>
      </w:r>
    </w:p>
    <w:p w14:paraId="6A41EB2B" w14:textId="77777777" w:rsidR="00581241" w:rsidRDefault="009A0115">
      <w:pPr>
        <w:bidi/>
        <w:spacing w:after="80"/>
      </w:pPr>
      <w:r>
        <w:rPr>
          <w:color w:val="5B6475"/>
          <w:sz w:val="20"/>
          <w:szCs w:val="20"/>
          <w:rtl/>
        </w:rPr>
        <w:t>المبدعون العرب للاستشارات الهندسية</w:t>
      </w:r>
    </w:p>
    <w:p w14:paraId="7DE7B5EC" w14:textId="77777777" w:rsidR="00581241" w:rsidRDefault="009A0115">
      <w:pPr>
        <w:bidi/>
        <w:spacing w:after="80"/>
      </w:pPr>
      <w:r>
        <w:rPr>
          <w:color w:val="5B6475"/>
          <w:sz w:val="17"/>
          <w:szCs w:val="17"/>
          <w:rtl/>
        </w:rPr>
        <w:t>مواضيع الفحص مستمدة من: كتاب الإشراف الهندسي وأصول التنفيذ لمشروعات المباني، م. يسري أحمد عبد الرحيم، ط4 2018.</w:t>
      </w:r>
    </w:p>
    <w:sectPr w:rsidR="00581241" w:rsidSect="00034616">
      <w:headerReference w:type="default" r:id="rId8"/>
      <w:footerReference w:type="default" r:id="rId9"/>
      <w:pgSz w:w="11906" w:h="16838"/>
      <w:pgMar w:top="907" w:right="907" w:bottom="850" w:left="907" w:header="340" w:footer="283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140DB" w14:textId="77777777" w:rsidR="009A0115" w:rsidRDefault="009A0115">
      <w:pPr>
        <w:spacing w:after="0" w:line="240" w:lineRule="auto"/>
      </w:pPr>
      <w:r>
        <w:separator/>
      </w:r>
    </w:p>
  </w:endnote>
  <w:endnote w:type="continuationSeparator" w:id="0">
    <w:p w14:paraId="416FBB35" w14:textId="77777777" w:rsidR="009A0115" w:rsidRDefault="009A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marai">
    <w:panose1 w:val="00000000000000000000"/>
    <w:charset w:val="00"/>
    <w:family w:val="auto"/>
    <w:pitch w:val="variable"/>
    <w:sig w:usb0="8000202B" w:usb1="9000205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028CA" w14:textId="77777777" w:rsidR="00581241" w:rsidRDefault="009A0115">
    <w:pPr>
      <w:pStyle w:val="Footer"/>
      <w:pBdr>
        <w:top w:val="single" w:sz="4" w:space="4" w:color="2633FF"/>
      </w:pBdr>
      <w:bidi/>
      <w:jc w:val="center"/>
    </w:pPr>
    <w:r>
      <w:rPr>
        <w:color w:val="5B6475"/>
        <w:sz w:val="14"/>
        <w:szCs w:val="14"/>
        <w:rtl/>
      </w:rPr>
      <w:t>المبدعون العرب للاستشارات الهندسية  |  المقر الرئيسي: القاهرة، مدينة 15 مايو  |  مكتب الرياض قيد التأسيس</w:t>
    </w:r>
  </w:p>
  <w:p w14:paraId="58B9C485" w14:textId="77777777" w:rsidR="00581241" w:rsidRDefault="009A0115">
    <w:pPr>
      <w:bidi/>
      <w:spacing w:after="0"/>
      <w:jc w:val="center"/>
    </w:pPr>
    <w:r>
      <w:rPr>
        <w:b/>
        <w:bCs/>
        <w:color w:val="052976"/>
        <w:sz w:val="15"/>
        <w:szCs w:val="15"/>
        <w:rtl/>
      </w:rPr>
      <w:t>info@arabcreators.co  |  www.arabcreators.co</w:t>
    </w:r>
  </w:p>
  <w:p w14:paraId="69B4F4F6" w14:textId="77777777" w:rsidR="00581241" w:rsidRDefault="009A0115">
    <w:pPr>
      <w:bidi/>
      <w:spacing w:after="0"/>
      <w:jc w:val="center"/>
    </w:pPr>
    <w:r>
      <w:rPr>
        <w:color w:val="5B6475"/>
        <w:sz w:val="15"/>
        <w:szCs w:val="15"/>
        <w:rtl/>
      </w:rPr>
      <w:t xml:space="preserve">صفحة </w:t>
    </w:r>
    <w:r>
      <w:fldChar w:fldCharType="begin"/>
    </w:r>
    <w:r>
      <w:instrText>PAGE</w:instrText>
    </w:r>
    <w:r>
      <w:fldChar w:fldCharType="separate"/>
    </w:r>
    <w:r>
      <w:rPr>
        <w:rtl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88BC2" w14:textId="77777777" w:rsidR="009A0115" w:rsidRDefault="009A0115">
      <w:pPr>
        <w:spacing w:after="0" w:line="240" w:lineRule="auto"/>
      </w:pPr>
      <w:r>
        <w:separator/>
      </w:r>
    </w:p>
  </w:footnote>
  <w:footnote w:type="continuationSeparator" w:id="0">
    <w:p w14:paraId="47B88FC4" w14:textId="77777777" w:rsidR="009A0115" w:rsidRDefault="009A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62ED7" w14:textId="77777777" w:rsidR="00581241" w:rsidRDefault="009A0115">
    <w:pPr>
      <w:pStyle w:val="Header"/>
      <w:pBdr>
        <w:bottom w:val="double" w:sz="6" w:space="4" w:color="052976"/>
      </w:pBdr>
    </w:pPr>
    <w:r>
      <w:rPr>
        <w:noProof/>
      </w:rPr>
      <w:drawing>
        <wp:inline distT="0" distB="0" distL="0" distR="0" wp14:anchorId="440F54EA" wp14:editId="1B397FEF">
          <wp:extent cx="1365698" cy="522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e_logo_h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5698" cy="52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3847220">
    <w:abstractNumId w:val="8"/>
  </w:num>
  <w:num w:numId="2" w16cid:durableId="625280009">
    <w:abstractNumId w:val="6"/>
  </w:num>
  <w:num w:numId="3" w16cid:durableId="127403102">
    <w:abstractNumId w:val="5"/>
  </w:num>
  <w:num w:numId="4" w16cid:durableId="205263730">
    <w:abstractNumId w:val="4"/>
  </w:num>
  <w:num w:numId="5" w16cid:durableId="1056470657">
    <w:abstractNumId w:val="7"/>
  </w:num>
  <w:num w:numId="6" w16cid:durableId="747768970">
    <w:abstractNumId w:val="3"/>
  </w:num>
  <w:num w:numId="7" w16cid:durableId="1245336871">
    <w:abstractNumId w:val="2"/>
  </w:num>
  <w:num w:numId="8" w16cid:durableId="2127920388">
    <w:abstractNumId w:val="1"/>
  </w:num>
  <w:num w:numId="9" w16cid:durableId="191386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7722"/>
    <w:rsid w:val="0006063C"/>
    <w:rsid w:val="0015074B"/>
    <w:rsid w:val="0029639D"/>
    <w:rsid w:val="00326F90"/>
    <w:rsid w:val="00581241"/>
    <w:rsid w:val="005C0D99"/>
    <w:rsid w:val="009A011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351B3C"/>
  <w14:defaultImageDpi w14:val="300"/>
  <w15:docId w15:val="{CB40D4BB-3D79-491E-8095-5848696D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lmarai" w:hAnsi="Almarai" w:cs="Almara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Fathy</dc:creator>
  <cp:keywords/>
  <dc:description/>
  <cp:lastModifiedBy>Ahmed Fathy</cp:lastModifiedBy>
  <cp:revision>2</cp:revision>
  <dcterms:created xsi:type="dcterms:W3CDTF">2026-11-03T20:23:00Z</dcterms:created>
  <dcterms:modified xsi:type="dcterms:W3CDTF">2026-11-03T20:23:00Z</dcterms:modified>
  <cp:category/>
</cp:coreProperties>
</file>